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90" w:rsidRPr="00A07639" w:rsidRDefault="006A5490" w:rsidP="00A07639">
      <w:pPr>
        <w:pStyle w:val="1"/>
        <w:rPr>
          <w:u w:val="none"/>
        </w:rPr>
      </w:pPr>
      <w:bookmarkStart w:id="0" w:name="_GoBack"/>
      <w:bookmarkEnd w:id="0"/>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vertAlign w:val="superscript"/>
        </w:rPr>
        <w:t>1</w:t>
      </w:r>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r>
        <w:rPr>
          <w:vertAlign w:val="superscript"/>
        </w:rPr>
        <w:t>2</w:t>
      </w:r>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vertAlign w:val="superscript"/>
        </w:rPr>
        <w:t>4</w:t>
      </w:r>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vertAlign w:val="superscript"/>
        </w:rPr>
        <w:t>7</w:t>
      </w:r>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vertAlign w:val="superscript"/>
        </w:rPr>
        <w:t>9</w:t>
      </w:r>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6A5490" w:rsidRDefault="006A5490">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w:t>
      </w:r>
      <w:r>
        <w:lastRenderedPageBreak/>
        <w:t>предварительных и периодических медицинских осмотров, вакцинации, установленным законодательством 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lastRenderedPageBreak/>
        <w:t>3.5.1. нахождение на раздаче более 3 часов с момента изготовления готовых блюд, требующих разогревания перед употреблением;</w:t>
      </w:r>
    </w:p>
    <w:p w:rsidR="006A5490" w:rsidRDefault="006A5490">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 xml:space="preserve">3.13. Складские помещения для хранения продукции должны быть оборудованы приборами для </w:t>
      </w:r>
      <w:r>
        <w:lastRenderedPageBreak/>
        <w:t>измерения относительной влажности и температуры воздуха, холодильное оборудование - контрольными термометрами.</w:t>
      </w:r>
    </w:p>
    <w:p w:rsidR="006A5490" w:rsidRDefault="006A5490">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5490" w:rsidRDefault="006A5490">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VI. Особенности организации питания при проведении кейтерингового обслуживания по организации общественного питания (кейтеринг)</w:t>
      </w:r>
    </w:p>
    <w:p w:rsidR="006A5490" w:rsidRDefault="006A5490"/>
    <w:p w:rsidR="006A5490" w:rsidRDefault="006A5490">
      <w:r>
        <w:t>6.1. При осуществлении кейтеринга:</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r>
        <w:lastRenderedPageBreak/>
        <w:t>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A5490" w:rsidRDefault="006A5490">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 xml:space="preserve">7.1.5. Для исключения опасности контактного микробиологического загрязнения пищевой продукции </w:t>
      </w:r>
      <w:r>
        <w:lastRenderedPageBreak/>
        <w:t>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lastRenderedPageBreak/>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5490" w:rsidRDefault="006A5490">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w:t>
      </w:r>
      <w:r>
        <w:lastRenderedPageBreak/>
        <w:t>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5490" w:rsidRDefault="006A5490">
      <w: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 7 к настоящим Правилам.</w:t>
      </w:r>
    </w:p>
    <w:p w:rsidR="006A5490" w:rsidRDefault="006A5490">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lastRenderedPageBreak/>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+2°С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w:t>
      </w:r>
      <w:r>
        <w:lastRenderedPageBreak/>
        <w:t>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lastRenderedPageBreak/>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5490" w:rsidRDefault="006A5490">
      <w: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Сточные воды должны отводиться от кухни и моечных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w:t>
      </w:r>
      <w:r>
        <w:lastRenderedPageBreak/>
        <w:t>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 России 12.05.2020 № 58320), приказом Минздрава России от 18.05.2020 № 455н (зарегистрирован Минюстом России 22.05.2020 № 58430).</w:t>
      </w:r>
    </w:p>
    <w:p w:rsidR="006A5490" w:rsidRDefault="006A5490">
      <w:pPr>
        <w:pStyle w:val="aff0"/>
      </w:pPr>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Минздравсоцразвития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ароматизаторов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w:t>
      </w:r>
      <w:r>
        <w:lastRenderedPageBreak/>
        <w:t>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к СанПиН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blPrEx>
          <w:tblCellMar>
            <w:top w:w="0" w:type="dxa"/>
            <w:bottom w:w="0" w:type="dxa"/>
          </w:tblCellMar>
        </w:tblPrEx>
        <w:tc>
          <w:tcPr>
            <w:tcW w:w="971" w:type="dxa"/>
            <w:tcBorders>
              <w:top w:val="single" w:sz="4" w:space="0" w:color="auto"/>
              <w:bottom w:val="single" w:sz="4" w:space="0" w:color="auto"/>
              <w:right w:val="single" w:sz="4" w:space="0" w:color="auto"/>
            </w:tcBorders>
          </w:tcPr>
          <w:p w:rsidR="006A5490" w:rsidRDefault="006A5490">
            <w:pPr>
              <w:pStyle w:val="aff5"/>
            </w:pPr>
            <w:r>
              <w:t>№ п/п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r>
              <w:t>(ответственным</w:t>
            </w:r>
          </w:p>
          <w:p w:rsidR="006A5490" w:rsidRDefault="006A5490">
            <w:pPr>
              <w:pStyle w:val="aff5"/>
            </w:pPr>
            <w:r>
              <w:t>лицом)</w:t>
            </w:r>
          </w:p>
          <w:p w:rsidR="006A5490" w:rsidRDefault="006A5490">
            <w:pPr>
              <w:pStyle w:val="aff5"/>
            </w:pPr>
            <w:r>
              <w:t>(допущен /</w:t>
            </w:r>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blPrEx>
          <w:tblCellMar>
            <w:top w:w="0" w:type="dxa"/>
            <w:bottom w:w="0" w:type="dxa"/>
          </w:tblCellMar>
        </w:tblPrEx>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blPrEx>
          <w:tblCellMar>
            <w:top w:w="0" w:type="dxa"/>
            <w:bottom w:w="0" w:type="dxa"/>
          </w:tblCellMar>
        </w:tblPrEx>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blPrEx>
          <w:tblCellMar>
            <w:top w:w="0" w:type="dxa"/>
            <w:bottom w:w="0" w:type="dxa"/>
          </w:tblCellMar>
        </w:tblPrEx>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blPrEx>
          <w:tblCellMar>
            <w:top w:w="0" w:type="dxa"/>
            <w:bottom w:w="0" w:type="dxa"/>
          </w:tblCellMar>
        </w:tblPrEx>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blPrEx>
          <w:tblCellMar>
            <w:top w:w="0" w:type="dxa"/>
            <w:bottom w:w="0" w:type="dxa"/>
          </w:tblCellMar>
        </w:tblPrEx>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3</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blPrEx>
          <w:tblCellMar>
            <w:top w:w="0" w:type="dxa"/>
            <w:bottom w:w="0" w:type="dxa"/>
          </w:tblCellMar>
        </w:tblPrEx>
        <w:tc>
          <w:tcPr>
            <w:tcW w:w="947" w:type="dxa"/>
            <w:vMerge w:val="restart"/>
            <w:tcBorders>
              <w:top w:val="single" w:sz="4" w:space="0" w:color="auto"/>
              <w:bottom w:val="single" w:sz="4" w:space="0" w:color="auto"/>
              <w:right w:val="single" w:sz="4" w:space="0" w:color="auto"/>
            </w:tcBorders>
          </w:tcPr>
          <w:p w:rsidR="006A5490" w:rsidRDefault="006A5490">
            <w:pPr>
              <w:pStyle w:val="aff5"/>
            </w:pPr>
            <w:r>
              <w:t>№ п/п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blPrEx>
          <w:tblCellMar>
            <w:top w:w="0" w:type="dxa"/>
            <w:bottom w:w="0" w:type="dxa"/>
          </w:tblCellMar>
        </w:tblPrEx>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blPrEx>
          <w:tblCellMar>
            <w:top w:w="0" w:type="dxa"/>
            <w:bottom w:w="0" w:type="dxa"/>
          </w:tblCellMar>
        </w:tblPrEx>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blPrEx>
          <w:tblCellMar>
            <w:top w:w="0" w:type="dxa"/>
            <w:bottom w:w="0" w:type="dxa"/>
          </w:tblCellMar>
        </w:tblPrEx>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blPrEx>
          <w:tblCellMar>
            <w:top w:w="0" w:type="dxa"/>
            <w:bottom w:w="0" w:type="dxa"/>
          </w:tblCellMar>
        </w:tblPrEx>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blPrEx>
          <w:tblCellMar>
            <w:top w:w="0" w:type="dxa"/>
            <w:bottom w:w="0" w:type="dxa"/>
          </w:tblCellMar>
        </w:tblPrEx>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номер документа, подтверждающего безопасность принятого пищевого продукта (декларация о </w:t>
            </w:r>
            <w:r>
              <w:lastRenderedPageBreak/>
              <w:t>соответствии, свидетельство о государственной регистрации, документы</w:t>
            </w:r>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Результаты органолептической оценки, поступившего продовольственного сырья и пищевых </w:t>
            </w:r>
            <w:r>
              <w:lastRenderedPageBreak/>
              <w:t>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Условия хранения, конечный</w:t>
            </w:r>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blPrEx>
          <w:tblCellMar>
            <w:top w:w="0" w:type="dxa"/>
            <w:bottom w:w="0" w:type="dxa"/>
          </w:tblCellMar>
        </w:tblPrEx>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к СанПиН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4. Субпродукты, кроме говяжьих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9. Консервы с нарушением герметичности банок, бомбажные, "хлопуши",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15. Творог из непастеризованного молока, фляжный творог, фляжную сметану без термической обработки.</w:t>
      </w:r>
    </w:p>
    <w:p w:rsidR="006A5490" w:rsidRDefault="006A5490">
      <w:r>
        <w:t>16. Простокваша - "самоквас".</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22. Блюда, изготовленные из мяса, птицы, рыбы (кроме соленой), не прошедших тепловую обработку.</w:t>
      </w:r>
    </w:p>
    <w:p w:rsidR="006A5490" w:rsidRDefault="006A5490">
      <w:r>
        <w:t>23. Масло растительное пальмовое, рапсовое, кокосовое, хлопковое.</w:t>
      </w:r>
    </w:p>
    <w:p w:rsidR="006A5490" w:rsidRDefault="006A5490">
      <w:r>
        <w:t>24. Жареные во фритюре пищевая продукция и продукция общественного питания.</w:t>
      </w:r>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40. Блюда из (или на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42. Изделия из рубленного мяса и рыбы, салаты, блины и оладьи, приготовленные в условиях палаточного лагеря.</w:t>
      </w:r>
    </w:p>
    <w:p w:rsidR="006A5490" w:rsidRDefault="006A5490">
      <w:r>
        <w:lastRenderedPageBreak/>
        <w:t>43. Сырки творожные; изделия творожные более 9% жирности.</w:t>
      </w:r>
    </w:p>
    <w:p w:rsidR="006A5490" w:rsidRDefault="006A5490">
      <w:r>
        <w:t>44. Молоко и молочные напитки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к СанПиН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r>
        <w:t>Таблица 1</w:t>
      </w:r>
    </w:p>
    <w:p w:rsidR="006A5490" w:rsidRDefault="006A5490"/>
    <w:p w:rsidR="006A5490" w:rsidRDefault="006A5490">
      <w:pPr>
        <w:pStyle w:val="1"/>
      </w:pPr>
      <w:r>
        <w:t>Среднесуточные наборы пищевой продукции для детей до 7-ми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blPrEx>
          <w:tblCellMar>
            <w:top w:w="0" w:type="dxa"/>
            <w:bottom w:w="0" w:type="dxa"/>
          </w:tblCellMar>
        </w:tblPrEx>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blPrEx>
          <w:tblCellMar>
            <w:top w:w="0" w:type="dxa"/>
            <w:bottom w:w="0" w:type="dxa"/>
          </w:tblCellMar>
        </w:tblPrEx>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м.д.ж.)</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blPrEx>
          <w:tblCellMar>
            <w:top w:w="0" w:type="dxa"/>
            <w:bottom w:w="0" w:type="dxa"/>
          </w:tblCellMar>
        </w:tblPrEx>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t>Среднесуточные наборы пищевой продукции для организации питания детей от 7 до 18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blPrEx>
          <w:tblCellMar>
            <w:top w:w="0" w:type="dxa"/>
            <w:bottom w:w="0" w:type="dxa"/>
          </w:tblCellMar>
        </w:tblPrEx>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blPrEx>
          <w:tblCellMar>
            <w:top w:w="0" w:type="dxa"/>
            <w:bottom w:w="0" w:type="dxa"/>
          </w:tblCellMar>
        </w:tblPrEx>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(5% - 9% м.д.ж.)</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blPrEx>
          <w:tblCellMar>
            <w:top w:w="0" w:type="dxa"/>
            <w:bottom w:w="0" w:type="dxa"/>
          </w:tblCellMar>
        </w:tblPrEx>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blPrEx>
          <w:tblCellMar>
            <w:top w:w="0" w:type="dxa"/>
            <w:bottom w:w="0" w:type="dxa"/>
          </w:tblCellMar>
        </w:tblPrEx>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blPrEx>
          <w:tblCellMar>
            <w:top w:w="0" w:type="dxa"/>
            <w:bottom w:w="0" w:type="dxa"/>
          </w:tblCellMar>
        </w:tblPrEx>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lastRenderedPageBreak/>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Мясо 1 -й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Творог (5% - 9% м.д.ж.)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blPrEx>
          <w:tblCellMar>
            <w:top w:w="0" w:type="dxa"/>
            <w:bottom w:w="0" w:type="dxa"/>
          </w:tblCellMar>
        </w:tblPrEx>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Примерная схема питания детей первого года жизни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blPrEx>
          <w:tblCellMar>
            <w:top w:w="0" w:type="dxa"/>
            <w:bottom w:w="0" w:type="dxa"/>
          </w:tblCellMar>
        </w:tblPrEx>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blPrEx>
          <w:tblCellMar>
            <w:top w:w="0" w:type="dxa"/>
            <w:bottom w:w="0" w:type="dxa"/>
          </w:tblCellMar>
        </w:tblPrEx>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 xml:space="preserve">Женское молоко, адаптированная молочная смесь или последующие молочные смеси </w:t>
            </w:r>
            <w:r>
              <w:lastRenderedPageBreak/>
              <w:t>(мл)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blPrEx>
          <w:tblCellMar>
            <w:top w:w="0" w:type="dxa"/>
            <w:bottom w:w="0" w:type="dxa"/>
          </w:tblCellMar>
        </w:tblPrEx>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blPrEx>
          <w:tblCellMar>
            <w:top w:w="0" w:type="dxa"/>
            <w:bottom w:w="0" w:type="dxa"/>
          </w:tblCellMar>
        </w:tblPrEx>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blPrEx>
          <w:tblCellMar>
            <w:top w:w="0" w:type="dxa"/>
            <w:bottom w:w="0" w:type="dxa"/>
          </w:tblCellMar>
        </w:tblPrEx>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blPrEx>
          <w:tblCellMar>
            <w:top w:w="0" w:type="dxa"/>
            <w:bottom w:w="0" w:type="dxa"/>
          </w:tblCellMar>
        </w:tblPrEx>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Творог (5% - 9% м.д.ж.)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lastRenderedPageBreak/>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blPrEx>
          <w:tblCellMar>
            <w:top w:w="0" w:type="dxa"/>
            <w:bottom w:w="0" w:type="dxa"/>
          </w:tblCellMar>
        </w:tblPrEx>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t>к СанПиН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lastRenderedPageBreak/>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941" w:type="dxa"/>
            <w:tcBorders>
              <w:top w:val="single" w:sz="4" w:space="0" w:color="auto"/>
              <w:bottom w:val="single" w:sz="4" w:space="0" w:color="auto"/>
              <w:right w:val="single" w:sz="4" w:space="0" w:color="auto"/>
            </w:tcBorders>
          </w:tcPr>
          <w:p w:rsidR="006A5490" w:rsidRDefault="006A5490">
            <w:pPr>
              <w:pStyle w:val="af"/>
              <w:jc w:val="left"/>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9</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blPrEx>
          <w:tblCellMar>
            <w:top w:w="0" w:type="dxa"/>
            <w:bottom w:w="0" w:type="dxa"/>
          </w:tblCellMar>
        </w:tblPrEx>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blPrEx>
          <w:tblCellMar>
            <w:top w:w="0" w:type="dxa"/>
            <w:bottom w:w="0" w:type="dxa"/>
          </w:tblCellMar>
        </w:tblPrEx>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blPrEx>
          <w:tblCellMar>
            <w:top w:w="0" w:type="dxa"/>
            <w:bottom w:w="0" w:type="dxa"/>
          </w:tblCellMar>
        </w:tblPrEx>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blPrEx>
          <w:tblCellMar>
            <w:top w:w="0" w:type="dxa"/>
            <w:bottom w:w="0" w:type="dxa"/>
          </w:tblCellMar>
        </w:tblPrEx>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blPrEx>
          <w:tblCellMar>
            <w:top w:w="0" w:type="dxa"/>
            <w:bottom w:w="0" w:type="dxa"/>
          </w:tblCellMar>
        </w:tblPrEx>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blPrEx>
          <w:tblCellMar>
            <w:top w:w="0" w:type="dxa"/>
            <w:bottom w:w="0" w:type="dxa"/>
          </w:tblCellMar>
        </w:tblPrEx>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blPrEx>
          <w:tblCellMar>
            <w:top w:w="0" w:type="dxa"/>
            <w:bottom w:w="0" w:type="dxa"/>
          </w:tblCellMar>
        </w:tblPrEx>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blPrEx>
          <w:tblCellMar>
            <w:top w:w="0" w:type="dxa"/>
            <w:bottom w:w="0" w:type="dxa"/>
          </w:tblCellMar>
        </w:tblPrEx>
        <w:tc>
          <w:tcPr>
            <w:tcW w:w="3650"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blPrEx>
          <w:tblCellMar>
            <w:top w:w="0" w:type="dxa"/>
            <w:bottom w:w="0" w:type="dxa"/>
          </w:tblCellMar>
        </w:tblPrEx>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blPrEx>
          <w:tblCellMar>
            <w:top w:w="0" w:type="dxa"/>
            <w:bottom w:w="0" w:type="dxa"/>
          </w:tblCellMar>
        </w:tblPrEx>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blPrEx>
          <w:tblCellMar>
            <w:top w:w="0" w:type="dxa"/>
            <w:bottom w:w="0" w:type="dxa"/>
          </w:tblCellMar>
        </w:tblPrEx>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blPrEx>
          <w:tblCellMar>
            <w:top w:w="0" w:type="dxa"/>
            <w:bottom w:w="0" w:type="dxa"/>
          </w:tblCellMar>
        </w:tblPrEx>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blPrEx>
          <w:tblCellMar>
            <w:top w:w="0" w:type="dxa"/>
            <w:bottom w:w="0" w:type="dxa"/>
          </w:tblCellMar>
        </w:tblPrEx>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blPrEx>
          <w:tblCellMar>
            <w:top w:w="0" w:type="dxa"/>
            <w:bottom w:w="0" w:type="dxa"/>
          </w:tblCellMar>
        </w:tblPrEx>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blPrEx>
          <w:tblCellMar>
            <w:top w:w="0" w:type="dxa"/>
            <w:bottom w:w="0" w:type="dxa"/>
          </w:tblCellMar>
        </w:tblPrEx>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blPrEx>
          <w:tblCellMar>
            <w:top w:w="0" w:type="dxa"/>
            <w:bottom w:w="0" w:type="dxa"/>
          </w:tblCellMar>
        </w:tblPrEx>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blPrEx>
          <w:tblCellMar>
            <w:top w:w="0" w:type="dxa"/>
            <w:bottom w:w="0" w:type="dxa"/>
          </w:tblCellMar>
        </w:tblPrEx>
        <w:tc>
          <w:tcPr>
            <w:tcW w:w="6278"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blPrEx>
          <w:tblCellMar>
            <w:top w:w="0" w:type="dxa"/>
            <w:bottom w:w="0" w:type="dxa"/>
          </w:tblCellMar>
        </w:tblPrEx>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blPrEx>
          <w:tblCellMar>
            <w:top w:w="0" w:type="dxa"/>
            <w:bottom w:w="0" w:type="dxa"/>
          </w:tblCellMar>
        </w:tblPrEx>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blPrEx>
          <w:tblCellMar>
            <w:top w:w="0" w:type="dxa"/>
            <w:bottom w:w="0" w:type="dxa"/>
          </w:tblCellMar>
        </w:tblPrEx>
        <w:tc>
          <w:tcPr>
            <w:tcW w:w="2712" w:type="dxa"/>
            <w:tcBorders>
              <w:top w:val="single" w:sz="4" w:space="0" w:color="auto"/>
              <w:bottom w:val="single" w:sz="4" w:space="0" w:color="auto"/>
              <w:right w:val="single" w:sz="4" w:space="0" w:color="auto"/>
            </w:tcBorders>
          </w:tcPr>
          <w:p w:rsidR="006A5490" w:rsidRDefault="006A5490">
            <w:pPr>
              <w:pStyle w:val="af"/>
              <w:jc w:val="left"/>
            </w:pPr>
            <w:r>
              <w:lastRenderedPageBreak/>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blPrEx>
          <w:tblCellMar>
            <w:top w:w="0" w:type="dxa"/>
            <w:bottom w:w="0" w:type="dxa"/>
          </w:tblCellMar>
        </w:tblPrEx>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blPrEx>
          <w:tblCellMar>
            <w:top w:w="0" w:type="dxa"/>
            <w:bottom w:w="0" w:type="dxa"/>
          </w:tblCellMar>
        </w:tblPrEx>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blPrEx>
          <w:tblCellMar>
            <w:top w:w="0" w:type="dxa"/>
            <w:bottom w:w="0" w:type="dxa"/>
          </w:tblCellMar>
        </w:tblPrEx>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blPrEx>
          <w:tblCellMar>
            <w:top w:w="0" w:type="dxa"/>
            <w:bottom w:w="0" w:type="dxa"/>
          </w:tblCellMar>
        </w:tblPrEx>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blPrEx>
          <w:tblCellMar>
            <w:top w:w="0" w:type="dxa"/>
            <w:bottom w:w="0" w:type="dxa"/>
          </w:tblCellMar>
        </w:tblPrEx>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blPrEx>
          <w:tblCellMar>
            <w:top w:w="0" w:type="dxa"/>
            <w:bottom w:w="0" w:type="dxa"/>
          </w:tblCellMar>
        </w:tblPrEx>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белки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жиры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С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В1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В2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йод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blPrEx>
          <w:tblCellMar>
            <w:top w:w="0" w:type="dxa"/>
            <w:bottom w:w="0" w:type="dxa"/>
          </w:tblCellMar>
        </w:tblPrEx>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(мг/сут)</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blPrEx>
          <w:tblCellMar>
            <w:top w:w="0" w:type="dxa"/>
            <w:bottom w:w="0" w:type="dxa"/>
          </w:tblCellMar>
        </w:tblPrEx>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(г/сут)</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(г/сут)</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(г/сут)</w:t>
            </w:r>
          </w:p>
        </w:tc>
      </w:tr>
      <w:tr w:rsidR="006A5490">
        <w:tblPrEx>
          <w:tblCellMar>
            <w:top w:w="0" w:type="dxa"/>
            <w:bottom w:w="0" w:type="dxa"/>
          </w:tblCellMar>
        </w:tblPrEx>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blPrEx>
          <w:tblCellMar>
            <w:top w:w="0" w:type="dxa"/>
            <w:bottom w:w="0" w:type="dxa"/>
          </w:tblCellMar>
        </w:tblPrEx>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blPrEx>
          <w:tblCellMar>
            <w:top w:w="0" w:type="dxa"/>
            <w:bottom w:w="0" w:type="dxa"/>
          </w:tblCellMar>
        </w:tblPrEx>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 xml:space="preserve">по уходу и присмотру, организации отдыха (труда и отдыха) с дневным </w:t>
            </w:r>
            <w:r>
              <w:lastRenderedPageBreak/>
              <w:t>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blPrEx>
          <w:tblCellMar>
            <w:top w:w="0" w:type="dxa"/>
            <w:bottom w:w="0" w:type="dxa"/>
          </w:tblCellMar>
        </w:tblPrEx>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blPrEx>
          <w:tblCellMar>
            <w:top w:w="0" w:type="dxa"/>
            <w:bottom w:w="0" w:type="dxa"/>
          </w:tblCellMar>
        </w:tblPrEx>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blPrEx>
          <w:tblCellMar>
            <w:top w:w="0" w:type="dxa"/>
            <w:bottom w:w="0" w:type="dxa"/>
          </w:tblCellMar>
        </w:tblPrEx>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blPrEx>
          <w:tblCellMar>
            <w:top w:w="0" w:type="dxa"/>
            <w:bottom w:w="0" w:type="dxa"/>
          </w:tblCellMar>
        </w:tblPrEx>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blPrEx>
          <w:tblCellMar>
            <w:top w:w="0" w:type="dxa"/>
            <w:bottom w:w="0" w:type="dxa"/>
          </w:tblCellMar>
        </w:tblPrEx>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Приемы пищи в зависимости от длительности пребывания детей в дошкольной</w:t>
            </w:r>
          </w:p>
          <w:p w:rsidR="006A5490" w:rsidRDefault="006A5490">
            <w:pPr>
              <w:pStyle w:val="aff5"/>
            </w:pPr>
            <w:r>
              <w:t>организации</w:t>
            </w:r>
          </w:p>
        </w:tc>
      </w:tr>
      <w:tr w:rsidR="006A5490">
        <w:tblPrEx>
          <w:tblCellMar>
            <w:top w:w="0" w:type="dxa"/>
            <w:bottom w:w="0" w:type="dxa"/>
          </w:tblCellMar>
        </w:tblPrEx>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blPrEx>
          <w:tblCellMar>
            <w:top w:w="0" w:type="dxa"/>
            <w:bottom w:w="0" w:type="dxa"/>
          </w:tblCellMar>
        </w:tblPrEx>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blPrEx>
          <w:tblCellMar>
            <w:top w:w="0" w:type="dxa"/>
            <w:bottom w:w="0" w:type="dxa"/>
          </w:tblCellMar>
        </w:tblPrEx>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blPrEx>
          <w:tblCellMar>
            <w:top w:w="0" w:type="dxa"/>
            <w:bottom w:w="0" w:type="dxa"/>
          </w:tblCellMar>
        </w:tblPrEx>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blPrEx>
          <w:tblCellMar>
            <w:top w:w="0" w:type="dxa"/>
            <w:bottom w:w="0" w:type="dxa"/>
          </w:tblCellMar>
        </w:tblPrEx>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blPrEx>
          <w:tblCellMar>
            <w:top w:w="0" w:type="dxa"/>
            <w:bottom w:w="0" w:type="dxa"/>
          </w:tblCellMar>
        </w:tblPrEx>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blPrEx>
          <w:tblCellMar>
            <w:top w:w="0" w:type="dxa"/>
            <w:bottom w:w="0" w:type="dxa"/>
          </w:tblCellMar>
        </w:tblPrEx>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t>к СанПиН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blPrEx>
          <w:tblCellMar>
            <w:top w:w="0" w:type="dxa"/>
            <w:bottom w:w="0" w:type="dxa"/>
          </w:tblCellMar>
        </w:tblPrEx>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Масса, г</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Вид пищевой продукции-заменитель</w:t>
            </w:r>
          </w:p>
        </w:tc>
        <w:tc>
          <w:tcPr>
            <w:tcW w:w="1827" w:type="dxa"/>
            <w:tcBorders>
              <w:top w:val="single" w:sz="4" w:space="0" w:color="auto"/>
              <w:left w:val="single" w:sz="4" w:space="0" w:color="auto"/>
              <w:bottom w:val="single" w:sz="4" w:space="0" w:color="auto"/>
            </w:tcBorders>
          </w:tcPr>
          <w:p w:rsidR="006A5490" w:rsidRDefault="006A5490">
            <w:pPr>
              <w:pStyle w:val="aff5"/>
            </w:pPr>
            <w:r>
              <w:t>Масса, г</w:t>
            </w:r>
          </w:p>
        </w:tc>
      </w:tr>
      <w:tr w:rsidR="006A549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blPrEx>
          <w:tblCellMar>
            <w:top w:w="0" w:type="dxa"/>
            <w:bottom w:w="0" w:type="dxa"/>
          </w:tblCellMar>
        </w:tblPrEx>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blPrEx>
          <w:tblCellMar>
            <w:top w:w="0" w:type="dxa"/>
            <w:bottom w:w="0" w:type="dxa"/>
          </w:tblCellMar>
        </w:tblPrEx>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blPrEx>
          <w:tblCellMar>
            <w:top w:w="0" w:type="dxa"/>
            <w:bottom w:w="0" w:type="dxa"/>
          </w:tblCellMar>
        </w:tblPrEx>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blPrEx>
          <w:tblCellMar>
            <w:top w:w="0" w:type="dxa"/>
            <w:bottom w:w="0" w:type="dxa"/>
          </w:tblCellMar>
        </w:tblPrEx>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blPrEx>
          <w:tblCellMar>
            <w:top w:w="0" w:type="dxa"/>
            <w:bottom w:w="0" w:type="dxa"/>
          </w:tblCellMar>
        </w:tblPrEx>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blPrEx>
          <w:tblCellMar>
            <w:top w:w="0" w:type="dxa"/>
            <w:bottom w:w="0" w:type="dxa"/>
          </w:tblCellMar>
        </w:tblPrEx>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blPrEx>
          <w:tblCellMar>
            <w:top w:w="0" w:type="dxa"/>
            <w:bottom w:w="0" w:type="dxa"/>
          </w:tblCellMar>
        </w:tblPrEx>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blPrEx>
          <w:tblCellMar>
            <w:top w:w="0" w:type="dxa"/>
            <w:bottom w:w="0" w:type="dxa"/>
          </w:tblCellMar>
        </w:tblPrEx>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blPrEx>
          <w:tblCellMar>
            <w:top w:w="0" w:type="dxa"/>
            <w:bottom w:w="0" w:type="dxa"/>
          </w:tblCellMar>
        </w:tblPrEx>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blPrEx>
          <w:tblCellMar>
            <w:top w:w="0" w:type="dxa"/>
            <w:bottom w:w="0" w:type="dxa"/>
          </w:tblCellMar>
        </w:tblPrEx>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t>к СанПиН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blPrEx>
          <w:tblCellMar>
            <w:top w:w="0" w:type="dxa"/>
            <w:bottom w:w="0" w:type="dxa"/>
          </w:tblCellMar>
        </w:tblPrEx>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blPrEx>
          <w:tblCellMar>
            <w:top w:w="0" w:type="dxa"/>
            <w:bottom w:w="0" w:type="dxa"/>
          </w:tblCellMar>
        </w:tblPrEx>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blPrEx>
          <w:tblCellMar>
            <w:top w:w="0" w:type="dxa"/>
            <w:bottom w:w="0" w:type="dxa"/>
          </w:tblCellMar>
        </w:tblPrEx>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blPrEx>
          <w:tblCellMar>
            <w:top w:w="0" w:type="dxa"/>
            <w:bottom w:w="0" w:type="dxa"/>
          </w:tblCellMar>
        </w:tblPrEx>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blPrEx>
          <w:tblCellMar>
            <w:top w:w="0" w:type="dxa"/>
            <w:bottom w:w="0" w:type="dxa"/>
          </w:tblCellMar>
        </w:tblPrEx>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blPrEx>
          <w:tblCellMar>
            <w:top w:w="0" w:type="dxa"/>
            <w:bottom w:w="0" w:type="dxa"/>
          </w:tblCellMar>
        </w:tblPrEx>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blPrEx>
          <w:tblCellMar>
            <w:top w:w="0" w:type="dxa"/>
            <w:bottom w:w="0" w:type="dxa"/>
          </w:tblCellMar>
        </w:tblPrEx>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blPrEx>
          <w:tblCellMar>
            <w:top w:w="0" w:type="dxa"/>
            <w:bottom w:w="0" w:type="dxa"/>
          </w:tblCellMar>
        </w:tblPrEx>
        <w:tc>
          <w:tcPr>
            <w:tcW w:w="2947" w:type="dxa"/>
            <w:tcBorders>
              <w:top w:val="single" w:sz="4" w:space="0" w:color="auto"/>
              <w:bottom w:val="single" w:sz="4" w:space="0" w:color="auto"/>
              <w:right w:val="single" w:sz="4" w:space="0" w:color="auto"/>
            </w:tcBorders>
          </w:tcPr>
          <w:p w:rsidR="006A5490" w:rsidRDefault="006A5490">
            <w:pPr>
              <w:pStyle w:val="af"/>
              <w:jc w:val="left"/>
            </w:pPr>
            <w:r>
              <w:lastRenderedPageBreak/>
              <w:t>Общеобразовательные организации</w:t>
            </w:r>
          </w:p>
          <w:p w:rsidR="006A5490" w:rsidRDefault="006A5490">
            <w:pPr>
              <w:pStyle w:val="af"/>
              <w:jc w:val="left"/>
            </w:pPr>
            <w:r>
              <w:t>(обучающиеся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blPrEx>
          <w:tblCellMar>
            <w:top w:w="0" w:type="dxa"/>
            <w:bottom w:w="0" w:type="dxa"/>
          </w:tblCellMar>
        </w:tblPrEx>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blPrEx>
          <w:tblCellMar>
            <w:top w:w="0" w:type="dxa"/>
            <w:bottom w:w="0" w:type="dxa"/>
          </w:tblCellMar>
        </w:tblPrEx>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blPrEx>
          <w:tblCellMar>
            <w:top w:w="0" w:type="dxa"/>
            <w:bottom w:w="0" w:type="dxa"/>
          </w:tblCellMar>
        </w:tblPrEx>
        <w:tc>
          <w:tcPr>
            <w:tcW w:w="2947" w:type="dxa"/>
            <w:tcBorders>
              <w:top w:val="single" w:sz="4" w:space="0" w:color="auto"/>
              <w:bottom w:val="single" w:sz="4" w:space="0" w:color="auto"/>
              <w:right w:val="single" w:sz="4" w:space="0" w:color="auto"/>
            </w:tcBorders>
          </w:tcPr>
          <w:p w:rsidR="006A5490" w:rsidRDefault="006A5490">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blPrEx>
          <w:tblCellMar>
            <w:top w:w="0" w:type="dxa"/>
            <w:bottom w:w="0" w:type="dxa"/>
          </w:tblCellMar>
        </w:tblPrEx>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к СанПиН 2.3/2.4.3590-20</w:t>
      </w:r>
    </w:p>
    <w:p w:rsidR="006A5490" w:rsidRDefault="006A5490"/>
    <w:p w:rsidR="006A5490" w:rsidRDefault="006A5490">
      <w:pPr>
        <w:pStyle w:val="1"/>
      </w:pPr>
      <w:r>
        <w:t>Ведомость контроля за рационом питания</w:t>
      </w:r>
      <w:r>
        <w:br/>
        <w:t>с ____________по___________________</w:t>
      </w:r>
    </w:p>
    <w:p w:rsidR="006A5490" w:rsidRDefault="006A5490"/>
    <w:p w:rsidR="006A5490" w:rsidRDefault="006A5490">
      <w:r>
        <w:t>Режим питания: двухразовое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blPrEx>
          <w:tblCellMar>
            <w:top w:w="0" w:type="dxa"/>
            <w:bottom w:w="0" w:type="dxa"/>
          </w:tblCellMar>
        </w:tblPrEx>
        <w:tc>
          <w:tcPr>
            <w:tcW w:w="1029" w:type="dxa"/>
            <w:vMerge w:val="restart"/>
            <w:tcBorders>
              <w:top w:val="single" w:sz="4" w:space="0" w:color="auto"/>
              <w:bottom w:val="single" w:sz="4" w:space="0" w:color="auto"/>
              <w:right w:val="single" w:sz="4" w:space="0" w:color="auto"/>
            </w:tcBorders>
          </w:tcPr>
          <w:p w:rsidR="006A5490" w:rsidRDefault="006A5490">
            <w:pPr>
              <w:pStyle w:val="aff5"/>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Норма продукции в граммах г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Отклонение от нормы в %</w:t>
            </w:r>
          </w:p>
          <w:p w:rsidR="006A5490" w:rsidRDefault="006A5490">
            <w:pPr>
              <w:pStyle w:val="aff5"/>
            </w:pPr>
            <w:r>
              <w:t>(+/-)</w:t>
            </w:r>
          </w:p>
        </w:tc>
      </w:tr>
      <w:tr w:rsidR="006A5490">
        <w:tblPrEx>
          <w:tblCellMar>
            <w:top w:w="0" w:type="dxa"/>
            <w:bottom w:w="0" w:type="dxa"/>
          </w:tblCellMar>
        </w:tblPrEx>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blPrEx>
          <w:tblCellMar>
            <w:top w:w="0" w:type="dxa"/>
            <w:bottom w:w="0" w:type="dxa"/>
          </w:tblCellMar>
        </w:tblPrEx>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blPrEx>
          <w:tblCellMar>
            <w:top w:w="0" w:type="dxa"/>
            <w:bottom w:w="0" w:type="dxa"/>
          </w:tblCellMar>
        </w:tblPrEx>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90"/>
    <w:rsid w:val="00326638"/>
    <w:rsid w:val="006A5490"/>
    <w:rsid w:val="007F7F66"/>
    <w:rsid w:val="00A0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A4407-F9C6-41EB-89E1-E5A5878B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12975</Words>
  <Characters>73963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2020-11-27T05:49:00Z</dcterms:created>
  <dcterms:modified xsi:type="dcterms:W3CDTF">2020-11-27T05:49:00Z</dcterms:modified>
</cp:coreProperties>
</file>